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C78BDC6" w:rsidR="00F00116" w:rsidRPr="00CC3A53" w:rsidRDefault="00F00116" w:rsidP="001B39C3">
      <w:pPr>
        <w:rPr>
          <w:rFonts w:cs="Poppins"/>
          <w:color w:val="000000"/>
        </w:rPr>
      </w:pPr>
    </w:p>
    <w:p w14:paraId="549E248D" w14:textId="522997AC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</w:rPr>
      </w:pPr>
      <w:r>
        <w:rPr>
          <w:rFonts w:cs="Poppins"/>
          <w:noProof/>
          <w:lang w:val="pt-PT"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Poppins"/>
          <w:lang w:val="pt-PT"/>
        </w:rPr>
        <w:br w:type="textWrapping" w:clear="all"/>
      </w:r>
    </w:p>
    <w:p w14:paraId="51ED0F23" w14:textId="77777777" w:rsidR="00F00116" w:rsidRPr="00CC3A53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</w:rPr>
      </w:pPr>
    </w:p>
    <w:p w14:paraId="0E6A8A5C" w14:textId="77777777" w:rsidR="00F00116" w:rsidRDefault="00F00116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r>
        <w:rPr>
          <w:rFonts w:cs="Poppins"/>
          <w:color w:val="595959" w:themeColor="text1" w:themeTint="A6"/>
          <w:sz w:val="28"/>
          <w:szCs w:val="24"/>
          <w:lang w:val="pt-PT"/>
        </w:rPr>
        <w:t>Transição Digital para um Agroturismo Acessível</w:t>
      </w:r>
    </w:p>
    <w:p w14:paraId="038CFB53" w14:textId="0138D6C9" w:rsidR="0017441F" w:rsidRPr="00CC3A53" w:rsidRDefault="00C0371D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r>
        <w:rPr>
          <w:rFonts w:cs="Poppins"/>
          <w:color w:val="595959" w:themeColor="text1" w:themeTint="A6"/>
          <w:sz w:val="28"/>
          <w:szCs w:val="24"/>
          <w:lang w:val="pt-PT"/>
        </w:rPr>
        <w:t>Ação 101167990</w:t>
      </w:r>
    </w:p>
    <w:p w14:paraId="510F571D" w14:textId="77777777" w:rsidR="00F00116" w:rsidRPr="00CC3A53" w:rsidRDefault="00F00116" w:rsidP="00146A1B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</w:p>
    <w:p w14:paraId="50B88094" w14:textId="7C9E5806" w:rsidR="00146A1B" w:rsidRPr="00146A1B" w:rsidRDefault="00146A1B" w:rsidP="000B78DA">
      <w:pPr>
        <w:ind w:firstLine="0"/>
        <w:jc w:val="center"/>
        <w:rPr>
          <w:rFonts w:cs="Poppins"/>
          <w:b/>
          <w:sz w:val="36"/>
          <w:szCs w:val="24"/>
        </w:rPr>
      </w:pPr>
      <w:bookmarkStart w:id="0" w:name="OLE_LINK3"/>
      <w:bookmarkStart w:id="1" w:name="OLE_LINK4"/>
      <w:r>
        <w:rPr>
          <w:rFonts w:cs="Poppins"/>
          <w:b/>
          <w:bCs/>
          <w:sz w:val="36"/>
          <w:szCs w:val="24"/>
          <w:lang w:val="pt-PT"/>
        </w:rPr>
        <w:t>D3.1 Conjunto de Ferramentas para a Formação de Formadores</w:t>
      </w:r>
    </w:p>
    <w:p w14:paraId="380FA01E" w14:textId="7D1E4DD1" w:rsidR="00146A1B" w:rsidRDefault="00146A1B" w:rsidP="26AB3DDB">
      <w:pPr>
        <w:ind w:firstLine="0"/>
        <w:jc w:val="center"/>
        <w:rPr>
          <w:rFonts w:cs="Poppins"/>
          <w:sz w:val="32"/>
          <w:szCs w:val="32"/>
        </w:rPr>
      </w:pPr>
      <w:r>
        <w:rPr>
          <w:rFonts w:cs="Poppins"/>
          <w:sz w:val="32"/>
          <w:szCs w:val="32"/>
          <w:lang w:val="pt-PT"/>
        </w:rPr>
        <w:t>Módulo 1: Noções Básicas Digitais para Organizações Facilitadoras</w:t>
      </w:r>
    </w:p>
    <w:p w14:paraId="460A7C0F" w14:textId="1D3A92D1" w:rsidR="00146A1B" w:rsidRDefault="0057136A" w:rsidP="26AB3DDB">
      <w:pPr>
        <w:spacing w:before="0" w:after="0"/>
        <w:ind w:firstLine="0"/>
        <w:jc w:val="center"/>
        <w:rPr>
          <w:rFonts w:cs="Poppins"/>
          <w:sz w:val="32"/>
          <w:szCs w:val="32"/>
        </w:rPr>
      </w:pPr>
      <w:r>
        <w:rPr>
          <w:rFonts w:cs="Poppins"/>
          <w:sz w:val="32"/>
          <w:szCs w:val="32"/>
          <w:lang w:val="pt-PT"/>
        </w:rPr>
        <w:t>Cumprimento do RGPD</w:t>
      </w:r>
    </w:p>
    <w:p w14:paraId="5FF883CD" w14:textId="763917D9" w:rsidR="00A13208" w:rsidRPr="00A13208" w:rsidRDefault="00A13208" w:rsidP="26AB3DDB">
      <w:pPr>
        <w:spacing w:before="0" w:after="0"/>
        <w:ind w:firstLine="0"/>
        <w:jc w:val="center"/>
        <w:rPr>
          <w:rFonts w:cs="Poppins"/>
          <w:sz w:val="32"/>
          <w:szCs w:val="32"/>
        </w:rPr>
      </w:pPr>
      <w:r>
        <w:rPr>
          <w:sz w:val="32"/>
          <w:szCs w:val="32"/>
          <w:lang w:val="pt-PT"/>
        </w:rPr>
        <w:t>Lista de Verificação de Autoavaliação</w:t>
      </w:r>
    </w:p>
    <w:p w14:paraId="1B854983" w14:textId="77777777" w:rsidR="00A13208" w:rsidRDefault="00A13208" w:rsidP="00951177">
      <w:pPr>
        <w:spacing w:line="276" w:lineRule="auto"/>
        <w:rPr>
          <w:rFonts w:cs="Poppins"/>
          <w:b/>
          <w:bCs/>
          <w:color w:val="3E762A"/>
        </w:rPr>
      </w:pPr>
      <w:bookmarkStart w:id="2" w:name="_Hlk186318967"/>
      <w:bookmarkEnd w:id="0"/>
      <w:bookmarkEnd w:id="1"/>
    </w:p>
    <w:p w14:paraId="3C0E8ED0" w14:textId="77777777" w:rsidR="00A13208" w:rsidRDefault="00A13208" w:rsidP="00951177">
      <w:pPr>
        <w:spacing w:line="276" w:lineRule="auto"/>
        <w:rPr>
          <w:rFonts w:cs="Poppins"/>
          <w:b/>
          <w:bCs/>
          <w:color w:val="3E762A"/>
        </w:rPr>
      </w:pPr>
    </w:p>
    <w:p w14:paraId="44CA2CD2" w14:textId="77777777" w:rsidR="008E211B" w:rsidRDefault="008E211B" w:rsidP="00951177">
      <w:pPr>
        <w:spacing w:line="276" w:lineRule="auto"/>
        <w:rPr>
          <w:rFonts w:cs="Poppins"/>
          <w:b/>
          <w:bCs/>
          <w:color w:val="3E762A"/>
        </w:rPr>
      </w:pPr>
    </w:p>
    <w:p w14:paraId="27DDB62C" w14:textId="77777777" w:rsidR="008E211B" w:rsidRDefault="008E211B" w:rsidP="00951177">
      <w:pPr>
        <w:spacing w:line="276" w:lineRule="auto"/>
        <w:rPr>
          <w:rFonts w:cs="Poppins"/>
          <w:b/>
          <w:bCs/>
          <w:color w:val="3E762A"/>
        </w:rPr>
      </w:pPr>
    </w:p>
    <w:p w14:paraId="488391FC" w14:textId="51D1D0F9" w:rsidR="26AB3DDB" w:rsidRDefault="26AB3DDB" w:rsidP="26AB3DDB">
      <w:pPr>
        <w:spacing w:line="276" w:lineRule="auto"/>
        <w:rPr>
          <w:rFonts w:cs="Poppins"/>
          <w:b/>
          <w:bCs/>
          <w:color w:val="3E762A"/>
        </w:rPr>
      </w:pPr>
    </w:p>
    <w:p w14:paraId="5752027F" w14:textId="6361DAAA" w:rsidR="00F00116" w:rsidRPr="00CC5207" w:rsidRDefault="00F00116" w:rsidP="00951177">
      <w:pPr>
        <w:spacing w:line="276" w:lineRule="auto"/>
        <w:rPr>
          <w:rFonts w:cs="Poppins"/>
          <w:b/>
          <w:bCs/>
          <w:color w:val="3E762A"/>
        </w:rPr>
      </w:pPr>
      <w:r>
        <w:rPr>
          <w:rFonts w:cs="Poppins"/>
          <w:b/>
          <w:bCs/>
          <w:color w:val="3E762A"/>
          <w:lang w:val="pt-PT"/>
        </w:rPr>
        <w:t xml:space="preserve">Declaração de exoneração de responsabilidade </w:t>
      </w:r>
    </w:p>
    <w:p w14:paraId="56DCB320" w14:textId="1B2490C1" w:rsidR="008A0453" w:rsidRDefault="008A0453" w:rsidP="005F5585">
      <w:pPr>
        <w:spacing w:line="276" w:lineRule="auto"/>
        <w:ind w:firstLine="14"/>
        <w:rPr>
          <w:rFonts w:cs="Poppins"/>
          <w:i/>
          <w:iCs/>
          <w:color w:val="000000"/>
        </w:rPr>
      </w:pPr>
      <w:bookmarkStart w:id="3" w:name="_Toc183511817"/>
      <w:r>
        <w:rPr>
          <w:rFonts w:cs="Poppins"/>
          <w:i/>
          <w:iCs/>
          <w:color w:val="000000"/>
          <w:lang w:val="pt-PT"/>
        </w:rPr>
        <w:t xml:space="preserve">Financiado pela União Europeia. Os pontos de vista e opiniões expressos são, no entanto, da exclusiva responsabilidade do(s) autor(es) e não refletem necessariamente os da União Europeia ou da Agência de Execução do Conselho Europeu da Inovação e das PME (EISMEA). Nem a União Europeia nem a autoridade concedente podem ser responsabilizadas por tais pontos de vista e opiniões. </w:t>
      </w:r>
    </w:p>
    <w:bookmarkEnd w:id="2"/>
    <w:p w14:paraId="216BDD3D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76CBB15C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0409E60D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74D63495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286C036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29371733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2883561D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AF3209C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3121717A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248AC72F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01C750D8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4093097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1BBBE95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490DA600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1E760A3F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19B1E2C3" w14:textId="4B5BBBCA" w:rsidR="00D47453" w:rsidRDefault="00D47453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  <w:bookmarkStart w:id="4" w:name="_Toc183511818"/>
      <w:bookmarkEnd w:id="3"/>
    </w:p>
    <w:p w14:paraId="4A90C551" w14:textId="77777777" w:rsidR="00A13208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14:paraId="11A0AF32" w14:textId="77777777" w:rsidR="00A13208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14:paraId="3035905F" w14:textId="77777777" w:rsidR="00A13208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14:paraId="21EFF82D" w14:textId="77777777" w:rsidR="00A13208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14:paraId="1B4EB32F" w14:textId="77777777" w:rsidR="00A13208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14:paraId="5546DE68" w14:textId="77777777" w:rsidR="00A13208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14:paraId="2BADBDDA" w14:textId="77777777" w:rsidR="00A13208" w:rsidRPr="00A13208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bookmarkEnd w:id="4"/>
    <w:p w14:paraId="0BC5C480" w14:textId="763BF8AD" w:rsidR="00146A1B" w:rsidRPr="0082214F" w:rsidRDefault="00A13208" w:rsidP="0082214F">
      <w:pPr>
        <w:pStyle w:val="Ttulo1"/>
        <w:numPr>
          <w:ilvl w:val="0"/>
          <w:numId w:val="4"/>
        </w:numPr>
        <w:spacing w:line="276" w:lineRule="auto"/>
        <w:ind w:left="357" w:hanging="357"/>
      </w:pPr>
      <w:r>
        <w:rPr>
          <w:bCs/>
          <w:lang w:val="pt-PT"/>
        </w:rPr>
        <w:t>Lista de Verificação de Autoavaliação</w:t>
      </w:r>
    </w:p>
    <w:tbl>
      <w:tblPr>
        <w:tblStyle w:val="TabelacomGrelh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:rsidRPr="0082214F" w14:paraId="33F37897" w14:textId="77777777" w:rsidTr="00A13208">
        <w:tc>
          <w:tcPr>
            <w:tcW w:w="5382" w:type="dxa"/>
            <w:shd w:val="clear" w:color="auto" w:fill="3E762A"/>
            <w:vAlign w:val="center"/>
          </w:tcPr>
          <w:p w14:paraId="41AAD391" w14:textId="5B7CF5D2" w:rsidR="00A13208" w:rsidRPr="0082214F" w:rsidRDefault="00A13208" w:rsidP="00A13208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t-PT"/>
              </w:rPr>
              <w:t>Rubrica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06E5DD79" w14:textId="7323C6C0" w:rsidR="00A13208" w:rsidRPr="0082214F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t-PT"/>
              </w:rPr>
              <w:t>Sim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518344CE" w14:textId="79C1022D" w:rsidR="00A13208" w:rsidRPr="0082214F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t-PT"/>
              </w:rPr>
              <w:t>Não</w:t>
            </w:r>
          </w:p>
        </w:tc>
      </w:tr>
      <w:tr w:rsidR="00780ECB" w:rsidRPr="0082214F" w14:paraId="41D25338" w14:textId="77777777" w:rsidTr="00A13208">
        <w:tc>
          <w:tcPr>
            <w:tcW w:w="5382" w:type="dxa"/>
          </w:tcPr>
          <w:p w14:paraId="1E6605F6" w14:textId="05B9C855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O nosso formulário de reserva contém</w:t>
            </w:r>
            <w:r>
              <w:rPr>
                <w:i/>
                <w:iCs/>
                <w:sz w:val="20"/>
                <w:szCs w:val="20"/>
                <w:lang w:val="pt-PT"/>
              </w:rPr>
              <w:t xml:space="preserve"> links</w:t>
            </w:r>
            <w:r>
              <w:rPr>
                <w:sz w:val="20"/>
                <w:szCs w:val="20"/>
                <w:lang w:val="pt-PT"/>
              </w:rPr>
              <w:t xml:space="preserve"> para uma declaração de privacidade atualizada.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09F1613E" w14:textId="78244746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t-PT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4AFF5E52" w14:textId="6F189FF5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t-PT"/>
                  </w:rPr>
                  <w:t>☐</w:t>
                </w:r>
              </w:p>
            </w:tc>
          </w:sdtContent>
        </w:sdt>
      </w:tr>
      <w:tr w:rsidR="00780ECB" w:rsidRPr="0082214F" w14:paraId="4AA98DB3" w14:textId="77777777" w:rsidTr="00A13208">
        <w:tc>
          <w:tcPr>
            <w:tcW w:w="5382" w:type="dxa"/>
          </w:tcPr>
          <w:p w14:paraId="3CCF669B" w14:textId="43470AF1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rFonts w:cs="Poppins"/>
                <w:sz w:val="20"/>
                <w:szCs w:val="20"/>
                <w:lang w:val="pt-PT"/>
              </w:rPr>
              <w:t>Registamos o fundamento jurídico para todos os dados que recolhemos.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17E6006A" w14:textId="07CA883B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t-PT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7BA02B49" w14:textId="4647A4C3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t-PT"/>
                  </w:rPr>
                  <w:t>☐</w:t>
                </w:r>
              </w:p>
            </w:tc>
          </w:sdtContent>
        </w:sdt>
      </w:tr>
      <w:tr w:rsidR="00780ECB" w:rsidRPr="0082214F" w14:paraId="0C341CBE" w14:textId="77777777" w:rsidTr="00A13208">
        <w:tc>
          <w:tcPr>
            <w:tcW w:w="5382" w:type="dxa"/>
          </w:tcPr>
          <w:p w14:paraId="65ADE15E" w14:textId="177BA3E2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rFonts w:cs="Poppins"/>
                <w:sz w:val="20"/>
                <w:szCs w:val="20"/>
                <w:lang w:val="pt-PT"/>
              </w:rPr>
              <w:t>Conservamos os dados dos hóspedes apenas em sistemas que utilizam centros de dados da UE.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48BB0301" w14:textId="7DF492CC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t-PT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5AABCF14" w14:textId="1B2BF09C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t-PT"/>
                  </w:rPr>
                  <w:t>☐</w:t>
                </w:r>
              </w:p>
            </w:tc>
          </w:sdtContent>
        </w:sdt>
      </w:tr>
      <w:tr w:rsidR="00780ECB" w:rsidRPr="0082214F" w14:paraId="57151D24" w14:textId="77777777" w:rsidTr="00A13208">
        <w:tc>
          <w:tcPr>
            <w:tcW w:w="5382" w:type="dxa"/>
          </w:tcPr>
          <w:p w14:paraId="463F5CC5" w14:textId="7D4AD0E4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 xml:space="preserve">Apagamos as digitalizações dos passaportes seis meses após o </w:t>
            </w:r>
            <w:r>
              <w:rPr>
                <w:i/>
                <w:iCs/>
                <w:sz w:val="20"/>
                <w:szCs w:val="20"/>
                <w:lang w:val="pt-PT"/>
              </w:rPr>
              <w:t>check-out</w:t>
            </w:r>
            <w:r>
              <w:rPr>
                <w:sz w:val="20"/>
                <w:szCs w:val="20"/>
                <w:lang w:val="pt-PT"/>
              </w:rPr>
              <w:t>.</w:t>
            </w:r>
          </w:p>
        </w:tc>
        <w:sdt>
          <w:sdtPr>
            <w:rPr>
              <w:rFonts w:cs="Poppins"/>
              <w:sz w:val="20"/>
              <w:szCs w:val="20"/>
            </w:rPr>
            <w:id w:val="-1547210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4874D98F" w14:textId="78741A19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t-PT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6408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07D6D0CE" w14:textId="09B8FC2C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t-PT"/>
                  </w:rPr>
                  <w:t>☐</w:t>
                </w:r>
              </w:p>
            </w:tc>
          </w:sdtContent>
        </w:sdt>
      </w:tr>
      <w:tr w:rsidR="00780ECB" w:rsidRPr="0082214F" w14:paraId="3BD65E5A" w14:textId="77777777" w:rsidTr="00A13208">
        <w:tc>
          <w:tcPr>
            <w:tcW w:w="5382" w:type="dxa"/>
          </w:tcPr>
          <w:p w14:paraId="57F81237" w14:textId="3A3CB915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rFonts w:cs="Poppins"/>
                <w:sz w:val="20"/>
                <w:szCs w:val="20"/>
                <w:lang w:val="pt-PT"/>
              </w:rPr>
              <w:t xml:space="preserve">Guardamos, para todos os hóspedes, o comprovativo do consentimento relativo ao </w:t>
            </w:r>
            <w:r>
              <w:rPr>
                <w:rFonts w:cs="Poppins"/>
                <w:i/>
                <w:iCs/>
                <w:sz w:val="20"/>
                <w:szCs w:val="20"/>
                <w:lang w:val="pt-PT"/>
              </w:rPr>
              <w:t>marketing.</w:t>
            </w:r>
          </w:p>
        </w:tc>
        <w:sdt>
          <w:sdtPr>
            <w:rPr>
              <w:rFonts w:cs="Poppins"/>
              <w:sz w:val="20"/>
              <w:szCs w:val="20"/>
            </w:rPr>
            <w:id w:val="-1998954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1C7DFEA9" w14:textId="3C8E2866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t-PT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3714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62DFB958" w14:textId="4E99BE1C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t-PT"/>
                  </w:rPr>
                  <w:t>☐</w:t>
                </w:r>
              </w:p>
            </w:tc>
          </w:sdtContent>
        </w:sdt>
      </w:tr>
      <w:tr w:rsidR="00780ECB" w:rsidRPr="0082214F" w14:paraId="4754F113" w14:textId="77777777" w:rsidTr="00A13208">
        <w:tc>
          <w:tcPr>
            <w:tcW w:w="5382" w:type="dxa"/>
          </w:tcPr>
          <w:p w14:paraId="5091FFDB" w14:textId="46953704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rFonts w:cs="Poppins"/>
                <w:sz w:val="20"/>
                <w:szCs w:val="20"/>
                <w:lang w:val="pt-PT"/>
              </w:rPr>
              <w:t>Podemos exportar os dados de um hóspede no prazo de sete dias, se tal nos for solicitado.</w:t>
            </w:r>
          </w:p>
        </w:tc>
        <w:sdt>
          <w:sdtPr>
            <w:rPr>
              <w:rFonts w:cs="Poppins"/>
              <w:sz w:val="20"/>
              <w:szCs w:val="20"/>
            </w:rPr>
            <w:id w:val="-345255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0C1157EB" w14:textId="3614E7EB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t-PT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223956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1066804E" w14:textId="0A2DC2CC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t-PT"/>
                  </w:rPr>
                  <w:t>☐</w:t>
                </w:r>
              </w:p>
            </w:tc>
          </w:sdtContent>
        </w:sdt>
      </w:tr>
      <w:tr w:rsidR="00780ECB" w:rsidRPr="0082214F" w14:paraId="38F29622" w14:textId="77777777" w:rsidTr="00A13208">
        <w:tc>
          <w:tcPr>
            <w:tcW w:w="5382" w:type="dxa"/>
          </w:tcPr>
          <w:p w14:paraId="54189682" w14:textId="656C6CDE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rFonts w:cs="Poppins"/>
                <w:sz w:val="20"/>
                <w:szCs w:val="20"/>
                <w:lang w:val="pt-PT"/>
              </w:rPr>
              <w:t>Testamos o modelo de pedido de apagamento duas vezes por ano.</w:t>
            </w:r>
          </w:p>
        </w:tc>
        <w:sdt>
          <w:sdtPr>
            <w:rPr>
              <w:rFonts w:cs="Poppins"/>
              <w:sz w:val="20"/>
              <w:szCs w:val="20"/>
            </w:rPr>
            <w:id w:val="-2021075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4E52DA30" w14:textId="1896C1E9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t-PT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206873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5B892F90" w14:textId="6A99CB27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t-PT"/>
                  </w:rPr>
                  <w:t>☐</w:t>
                </w:r>
              </w:p>
            </w:tc>
          </w:sdtContent>
        </w:sdt>
      </w:tr>
      <w:tr w:rsidR="00780ECB" w:rsidRPr="0082214F" w14:paraId="799F7DCE" w14:textId="77777777" w:rsidTr="00A13208">
        <w:tc>
          <w:tcPr>
            <w:tcW w:w="5382" w:type="dxa"/>
          </w:tcPr>
          <w:p w14:paraId="3DDE1A48" w14:textId="0B996761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rFonts w:cs="Poppins"/>
                <w:sz w:val="20"/>
                <w:szCs w:val="20"/>
                <w:lang w:val="pt-PT"/>
              </w:rPr>
              <w:t>Os nossos documentos de privacidade estão sujeitos a uma verificação automática de acessibilidade.</w:t>
            </w:r>
          </w:p>
        </w:tc>
        <w:sdt>
          <w:sdtPr>
            <w:rPr>
              <w:rFonts w:cs="Poppins"/>
              <w:sz w:val="20"/>
              <w:szCs w:val="20"/>
            </w:rPr>
            <w:id w:val="-1178573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0CA3183F" w14:textId="29138A42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t-PT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83559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67E5E56D" w14:textId="6DABDFD0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Segoe UI Symbol" w:eastAsia="MS Gothic" w:hAnsi="Segoe UI Symbol" w:cs="Segoe UI Symbol"/>
                    <w:sz w:val="20"/>
                    <w:szCs w:val="20"/>
                    <w:lang w:val="pt-PT"/>
                  </w:rPr>
                  <w:t>☐</w:t>
                </w:r>
              </w:p>
            </w:tc>
          </w:sdtContent>
        </w:sdt>
      </w:tr>
    </w:tbl>
    <w:p w14:paraId="509D6562" w14:textId="05756836" w:rsidR="00DB48B2" w:rsidRPr="00FA6018" w:rsidRDefault="00DB48B2" w:rsidP="00A13208">
      <w:pPr>
        <w:spacing w:line="276" w:lineRule="auto"/>
        <w:ind w:firstLine="0"/>
      </w:pPr>
    </w:p>
    <w:p w14:paraId="59E6CAF3" w14:textId="503C108A" w:rsidR="00146A1B" w:rsidRDefault="00A13208" w:rsidP="0082214F">
      <w:pPr>
        <w:pStyle w:val="Ttulo1"/>
        <w:numPr>
          <w:ilvl w:val="0"/>
          <w:numId w:val="4"/>
        </w:numPr>
        <w:spacing w:line="276" w:lineRule="auto"/>
        <w:ind w:left="357" w:hanging="357"/>
      </w:pPr>
      <w:r>
        <w:rPr>
          <w:bCs/>
          <w:lang w:val="pt-PT"/>
        </w:rPr>
        <w:lastRenderedPageBreak/>
        <w:t>Como usar esta autoavaliação do RGPD e da verificação automática de acessibilidade</w:t>
      </w:r>
    </w:p>
    <w:p w14:paraId="3C90EDBD" w14:textId="1EFD3159" w:rsidR="00780ECB" w:rsidRPr="00780ECB" w:rsidRDefault="00780ECB" w:rsidP="00780ECB">
      <w:pPr>
        <w:spacing w:line="276" w:lineRule="auto"/>
      </w:pPr>
      <w:r>
        <w:rPr>
          <w:lang w:val="pt-PT"/>
        </w:rPr>
        <w:t xml:space="preserve">Selecione </w:t>
      </w:r>
      <w:r>
        <w:rPr>
          <w:b/>
          <w:bCs/>
          <w:lang w:val="pt-PT"/>
        </w:rPr>
        <w:t>Sim</w:t>
      </w:r>
      <w:r>
        <w:rPr>
          <w:lang w:val="pt-PT"/>
        </w:rPr>
        <w:t xml:space="preserve"> apenas se a afirmação for totalmente verdadeira hoje, não «planeada». Um </w:t>
      </w:r>
      <w:r>
        <w:rPr>
          <w:b/>
          <w:bCs/>
          <w:lang w:val="pt-PT"/>
        </w:rPr>
        <w:t>Não</w:t>
      </w:r>
      <w:r>
        <w:rPr>
          <w:lang w:val="pt-PT"/>
        </w:rPr>
        <w:t xml:space="preserve"> revela uma lacuna de cumprimento que deve ser incluída no seu próximo </w:t>
      </w:r>
      <w:r>
        <w:rPr>
          <w:i/>
          <w:iCs/>
          <w:lang w:val="pt-PT"/>
        </w:rPr>
        <w:t>sprint backlog.</w:t>
      </w:r>
    </w:p>
    <w:tbl>
      <w:tblPr>
        <w:tblStyle w:val="TabelacomGrelha"/>
        <w:tblW w:w="9067" w:type="dxa"/>
        <w:tblLook w:val="04A0" w:firstRow="1" w:lastRow="0" w:firstColumn="1" w:lastColumn="0" w:noHBand="0" w:noVBand="1"/>
      </w:tblPr>
      <w:tblGrid>
        <w:gridCol w:w="2263"/>
        <w:gridCol w:w="3261"/>
        <w:gridCol w:w="3543"/>
      </w:tblGrid>
      <w:tr w:rsidR="00A13208" w:rsidRPr="0082214F" w14:paraId="74F662F1" w14:textId="77777777" w:rsidTr="00FB74BD">
        <w:tc>
          <w:tcPr>
            <w:tcW w:w="2263" w:type="dxa"/>
            <w:shd w:val="clear" w:color="auto" w:fill="3E762A"/>
            <w:vAlign w:val="center"/>
          </w:tcPr>
          <w:p w14:paraId="5CCCBE2E" w14:textId="2ED58F68" w:rsidR="00A13208" w:rsidRPr="0082214F" w:rsidRDefault="00A13208" w:rsidP="00FB74BD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t-PT"/>
              </w:rPr>
              <w:t>Rubrica</w:t>
            </w:r>
          </w:p>
        </w:tc>
        <w:tc>
          <w:tcPr>
            <w:tcW w:w="3261" w:type="dxa"/>
            <w:shd w:val="clear" w:color="auto" w:fill="3E762A"/>
            <w:vAlign w:val="center"/>
          </w:tcPr>
          <w:p w14:paraId="3CE24622" w14:textId="6C2273E3" w:rsidR="00A13208" w:rsidRPr="0082214F" w:rsidRDefault="00A13208" w:rsidP="00FB74B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t-PT"/>
              </w:rPr>
              <w:t>Por que razão é importante?</w:t>
            </w:r>
          </w:p>
        </w:tc>
        <w:tc>
          <w:tcPr>
            <w:tcW w:w="3543" w:type="dxa"/>
            <w:shd w:val="clear" w:color="auto" w:fill="3E762A"/>
            <w:vAlign w:val="center"/>
          </w:tcPr>
          <w:p w14:paraId="51CD6045" w14:textId="77777777" w:rsidR="0082214F" w:rsidRDefault="00A13208" w:rsidP="00FB74B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t-PT"/>
              </w:rPr>
              <w:t xml:space="preserve">Sugestão rápida para passar </w:t>
            </w:r>
          </w:p>
          <w:p w14:paraId="2D1E0D71" w14:textId="4D3DAAC7" w:rsidR="00A13208" w:rsidRPr="0082214F" w:rsidRDefault="00A13208" w:rsidP="00FB74B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t-PT"/>
              </w:rPr>
              <w:t>de “Não” a “Sim”</w:t>
            </w:r>
          </w:p>
        </w:tc>
      </w:tr>
      <w:tr w:rsidR="00780ECB" w:rsidRPr="0082214F" w14:paraId="104004EE" w14:textId="77777777" w:rsidTr="00FB74BD">
        <w:tc>
          <w:tcPr>
            <w:tcW w:w="2263" w:type="dxa"/>
          </w:tcPr>
          <w:p w14:paraId="2B3EAEEA" w14:textId="08C94C38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O nosso formulário de reserva contém</w:t>
            </w:r>
            <w:r>
              <w:rPr>
                <w:i/>
                <w:iCs/>
                <w:sz w:val="20"/>
                <w:szCs w:val="20"/>
                <w:lang w:val="pt-PT"/>
              </w:rPr>
              <w:t xml:space="preserve"> links</w:t>
            </w:r>
            <w:r>
              <w:rPr>
                <w:sz w:val="20"/>
                <w:szCs w:val="20"/>
                <w:lang w:val="pt-PT"/>
              </w:rPr>
              <w:t xml:space="preserve"> para uma declaração de privacidade atualizada.</w:t>
            </w:r>
          </w:p>
        </w:tc>
        <w:tc>
          <w:tcPr>
            <w:tcW w:w="3261" w:type="dxa"/>
          </w:tcPr>
          <w:p w14:paraId="2ED6753E" w14:textId="2D7DC042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 xml:space="preserve">Artigo 13.º do RGPD: os hóspedes devem saber que dados são recolhidos </w:t>
            </w:r>
            <w:proofErr w:type="gramStart"/>
            <w:r>
              <w:rPr>
                <w:i/>
                <w:iCs/>
                <w:sz w:val="20"/>
                <w:szCs w:val="20"/>
                <w:lang w:val="pt-PT"/>
              </w:rPr>
              <w:t>no momento em que</w:t>
            </w:r>
            <w:proofErr w:type="gramEnd"/>
            <w:r>
              <w:rPr>
                <w:i/>
                <w:iCs/>
                <w:sz w:val="20"/>
                <w:szCs w:val="20"/>
                <w:lang w:val="pt-PT"/>
              </w:rPr>
              <w:t xml:space="preserve"> estes são recolhidos</w:t>
            </w:r>
            <w:r>
              <w:rPr>
                <w:sz w:val="20"/>
                <w:szCs w:val="20"/>
                <w:lang w:val="pt-PT"/>
              </w:rPr>
              <w:t>.</w:t>
            </w:r>
          </w:p>
        </w:tc>
        <w:tc>
          <w:tcPr>
            <w:tcW w:w="3543" w:type="dxa"/>
          </w:tcPr>
          <w:p w14:paraId="17220C56" w14:textId="4C457B7E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 xml:space="preserve">Adicione uma linha curta abaixo dos campos do formulário: «Veja como protegemos os seus dados» → </w:t>
            </w:r>
            <w:r>
              <w:rPr>
                <w:i/>
                <w:iCs/>
                <w:sz w:val="20"/>
                <w:szCs w:val="20"/>
                <w:lang w:val="pt-PT"/>
              </w:rPr>
              <w:t>link</w:t>
            </w:r>
            <w:r>
              <w:rPr>
                <w:sz w:val="20"/>
                <w:szCs w:val="20"/>
                <w:lang w:val="pt-PT"/>
              </w:rPr>
              <w:t xml:space="preserve"> para a declaração mais recente.</w:t>
            </w:r>
          </w:p>
        </w:tc>
      </w:tr>
      <w:tr w:rsidR="00780ECB" w:rsidRPr="0082214F" w14:paraId="4C62C3FC" w14:textId="77777777" w:rsidTr="00FB74BD">
        <w:tc>
          <w:tcPr>
            <w:tcW w:w="2263" w:type="dxa"/>
          </w:tcPr>
          <w:p w14:paraId="0309CF18" w14:textId="209F709C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Registamos o fundamento jurídico para todos os dados que recolhemos.</w:t>
            </w:r>
          </w:p>
        </w:tc>
        <w:tc>
          <w:tcPr>
            <w:tcW w:w="3261" w:type="dxa"/>
          </w:tcPr>
          <w:p w14:paraId="1FE4E21C" w14:textId="1FAFD05D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Os organismos de regulação podem perguntar: «Por que razão necessitam de números de telefone?»</w:t>
            </w:r>
          </w:p>
        </w:tc>
        <w:tc>
          <w:tcPr>
            <w:tcW w:w="3543" w:type="dxa"/>
          </w:tcPr>
          <w:p w14:paraId="5CDE0496" w14:textId="36D94266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 xml:space="preserve">Crie uma tabela simples: </w:t>
            </w:r>
            <w:r>
              <w:rPr>
                <w:i/>
                <w:iCs/>
                <w:sz w:val="20"/>
                <w:szCs w:val="20"/>
                <w:lang w:val="pt-PT"/>
              </w:rPr>
              <w:t>Dado • Fundamento jurídico</w:t>
            </w:r>
            <w:r>
              <w:rPr>
                <w:sz w:val="20"/>
                <w:szCs w:val="20"/>
                <w:lang w:val="pt-PT"/>
              </w:rPr>
              <w:t xml:space="preserve"> (Contrato, Obrigação Legal, Consentimento, Interesse Legítimo). Guarde-a com os seus Registos de Atividades de Tratamento.</w:t>
            </w:r>
          </w:p>
        </w:tc>
      </w:tr>
      <w:tr w:rsidR="00780ECB" w:rsidRPr="0082214F" w14:paraId="006C87D2" w14:textId="77777777" w:rsidTr="00FB74BD">
        <w:tc>
          <w:tcPr>
            <w:tcW w:w="2263" w:type="dxa"/>
          </w:tcPr>
          <w:p w14:paraId="4C89BC05" w14:textId="47D508E3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Conservamos os dados dos hóspedes apenas em sistemas que utilizam centros de dados da UE.</w:t>
            </w:r>
          </w:p>
        </w:tc>
        <w:tc>
          <w:tcPr>
            <w:tcW w:w="3261" w:type="dxa"/>
          </w:tcPr>
          <w:p w14:paraId="15C515C1" w14:textId="52C2D164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As transferências para fora do EEE necessitam de medidas jurídicas suplementares.</w:t>
            </w:r>
          </w:p>
        </w:tc>
        <w:tc>
          <w:tcPr>
            <w:tcW w:w="3543" w:type="dxa"/>
          </w:tcPr>
          <w:p w14:paraId="5AFEEA3A" w14:textId="16E7DCDF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Em cada painel de gestão na nuvem, escolha um local como «ue-central» ou «Bélgica». Documente a definição com uma captura de ecrã.</w:t>
            </w:r>
          </w:p>
        </w:tc>
      </w:tr>
      <w:tr w:rsidR="00780ECB" w:rsidRPr="0082214F" w14:paraId="262DBDE5" w14:textId="77777777" w:rsidTr="00FB74BD">
        <w:tc>
          <w:tcPr>
            <w:tcW w:w="2263" w:type="dxa"/>
          </w:tcPr>
          <w:p w14:paraId="2E778C05" w14:textId="58110DEF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 xml:space="preserve">Apagamos as digitalizações dos passaportes seis meses após o </w:t>
            </w:r>
            <w:r>
              <w:rPr>
                <w:i/>
                <w:iCs/>
                <w:sz w:val="20"/>
                <w:szCs w:val="20"/>
                <w:lang w:val="pt-PT"/>
              </w:rPr>
              <w:t>check-out</w:t>
            </w:r>
            <w:r>
              <w:rPr>
                <w:sz w:val="20"/>
                <w:szCs w:val="20"/>
                <w:lang w:val="pt-PT"/>
              </w:rPr>
              <w:t>.</w:t>
            </w:r>
          </w:p>
        </w:tc>
        <w:tc>
          <w:tcPr>
            <w:tcW w:w="3261" w:type="dxa"/>
          </w:tcPr>
          <w:p w14:paraId="6DBE08A0" w14:textId="3A9DA9CF" w:rsidR="00691D7B" w:rsidRPr="0082214F" w:rsidRDefault="00691D7B" w:rsidP="00780ECB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691D7B">
              <w:rPr>
                <w:sz w:val="20"/>
                <w:szCs w:val="20"/>
              </w:rPr>
              <w:t xml:space="preserve">As </w:t>
            </w:r>
            <w:proofErr w:type="spellStart"/>
            <w:r w:rsidRPr="00691D7B">
              <w:rPr>
                <w:sz w:val="20"/>
                <w:szCs w:val="20"/>
              </w:rPr>
              <w:t>leis</w:t>
            </w:r>
            <w:proofErr w:type="spellEnd"/>
            <w:r w:rsidRPr="00691D7B">
              <w:rPr>
                <w:sz w:val="20"/>
                <w:szCs w:val="20"/>
              </w:rPr>
              <w:t xml:space="preserve"> </w:t>
            </w:r>
            <w:proofErr w:type="spellStart"/>
            <w:r w:rsidRPr="00691D7B">
              <w:rPr>
                <w:sz w:val="20"/>
                <w:szCs w:val="20"/>
              </w:rPr>
              <w:t>fiscais</w:t>
            </w:r>
            <w:proofErr w:type="spellEnd"/>
            <w:r w:rsidRPr="00691D7B">
              <w:rPr>
                <w:sz w:val="20"/>
                <w:szCs w:val="20"/>
              </w:rPr>
              <w:t xml:space="preserve"> e </w:t>
            </w:r>
            <w:proofErr w:type="spellStart"/>
            <w:r w:rsidRPr="00691D7B">
              <w:rPr>
                <w:sz w:val="20"/>
                <w:szCs w:val="20"/>
              </w:rPr>
              <w:t>turísticas</w:t>
            </w:r>
            <w:proofErr w:type="spellEnd"/>
            <w:r w:rsidRPr="00691D7B">
              <w:rPr>
                <w:sz w:val="20"/>
                <w:szCs w:val="20"/>
              </w:rPr>
              <w:t xml:space="preserve"> </w:t>
            </w:r>
            <w:proofErr w:type="spellStart"/>
            <w:r w:rsidRPr="00691D7B">
              <w:rPr>
                <w:sz w:val="20"/>
                <w:szCs w:val="20"/>
              </w:rPr>
              <w:t>em</w:t>
            </w:r>
            <w:proofErr w:type="spellEnd"/>
            <w:r w:rsidRPr="00691D7B">
              <w:rPr>
                <w:sz w:val="20"/>
                <w:szCs w:val="20"/>
              </w:rPr>
              <w:t xml:space="preserve"> </w:t>
            </w:r>
            <w:proofErr w:type="spellStart"/>
            <w:r w:rsidRPr="00691D7B">
              <w:rPr>
                <w:sz w:val="20"/>
                <w:szCs w:val="20"/>
              </w:rPr>
              <w:t>alguns</w:t>
            </w:r>
            <w:proofErr w:type="spellEnd"/>
            <w:r w:rsidRPr="00691D7B">
              <w:rPr>
                <w:sz w:val="20"/>
                <w:szCs w:val="20"/>
              </w:rPr>
              <w:t xml:space="preserve"> </w:t>
            </w:r>
            <w:proofErr w:type="spellStart"/>
            <w:r w:rsidRPr="00691D7B">
              <w:rPr>
                <w:sz w:val="20"/>
                <w:szCs w:val="20"/>
              </w:rPr>
              <w:t>países</w:t>
            </w:r>
            <w:proofErr w:type="spellEnd"/>
            <w:r w:rsidRPr="00691D7B">
              <w:rPr>
                <w:sz w:val="20"/>
                <w:szCs w:val="20"/>
              </w:rPr>
              <w:t xml:space="preserve"> </w:t>
            </w:r>
            <w:proofErr w:type="spellStart"/>
            <w:r w:rsidRPr="00691D7B">
              <w:rPr>
                <w:sz w:val="20"/>
                <w:szCs w:val="20"/>
              </w:rPr>
              <w:t>exigem</w:t>
            </w:r>
            <w:proofErr w:type="spellEnd"/>
            <w:r w:rsidRPr="00691D7B">
              <w:rPr>
                <w:sz w:val="20"/>
                <w:szCs w:val="20"/>
              </w:rPr>
              <w:t xml:space="preserve"> </w:t>
            </w:r>
            <w:proofErr w:type="spellStart"/>
            <w:r w:rsidRPr="00691D7B">
              <w:rPr>
                <w:sz w:val="20"/>
                <w:szCs w:val="20"/>
              </w:rPr>
              <w:t>uma</w:t>
            </w:r>
            <w:proofErr w:type="spellEnd"/>
            <w:r w:rsidRPr="00691D7B">
              <w:rPr>
                <w:sz w:val="20"/>
                <w:szCs w:val="20"/>
              </w:rPr>
              <w:t xml:space="preserve"> </w:t>
            </w:r>
            <w:proofErr w:type="spellStart"/>
            <w:r w:rsidRPr="00691D7B">
              <w:rPr>
                <w:sz w:val="20"/>
                <w:szCs w:val="20"/>
              </w:rPr>
              <w:t>retenção</w:t>
            </w:r>
            <w:proofErr w:type="spellEnd"/>
            <w:r w:rsidRPr="00691D7B">
              <w:rPr>
                <w:sz w:val="20"/>
                <w:szCs w:val="20"/>
              </w:rPr>
              <w:t xml:space="preserve"> </w:t>
            </w:r>
            <w:proofErr w:type="spellStart"/>
            <w:r w:rsidRPr="00691D7B">
              <w:rPr>
                <w:sz w:val="20"/>
                <w:szCs w:val="20"/>
              </w:rPr>
              <w:t>curta</w:t>
            </w:r>
            <w:proofErr w:type="spellEnd"/>
            <w:r w:rsidRPr="00691D7B">
              <w:rPr>
                <w:sz w:val="20"/>
                <w:szCs w:val="20"/>
              </w:rPr>
              <w:t xml:space="preserve">; o </w:t>
            </w:r>
            <w:proofErr w:type="spellStart"/>
            <w:r w:rsidRPr="00691D7B">
              <w:rPr>
                <w:sz w:val="20"/>
                <w:szCs w:val="20"/>
              </w:rPr>
              <w:t>armazenamento</w:t>
            </w:r>
            <w:proofErr w:type="spellEnd"/>
            <w:r w:rsidRPr="00691D7B">
              <w:rPr>
                <w:sz w:val="20"/>
                <w:szCs w:val="20"/>
              </w:rPr>
              <w:t xml:space="preserve"> </w:t>
            </w:r>
            <w:proofErr w:type="spellStart"/>
            <w:r w:rsidRPr="00691D7B">
              <w:rPr>
                <w:sz w:val="20"/>
                <w:szCs w:val="20"/>
              </w:rPr>
              <w:t>por</w:t>
            </w:r>
            <w:proofErr w:type="spellEnd"/>
            <w:r w:rsidRPr="00691D7B">
              <w:rPr>
                <w:sz w:val="20"/>
                <w:szCs w:val="20"/>
              </w:rPr>
              <w:t xml:space="preserve"> mais tempo </w:t>
            </w:r>
            <w:proofErr w:type="spellStart"/>
            <w:r w:rsidRPr="00691D7B">
              <w:rPr>
                <w:sz w:val="20"/>
                <w:szCs w:val="20"/>
              </w:rPr>
              <w:t>pode</w:t>
            </w:r>
            <w:proofErr w:type="spellEnd"/>
            <w:r w:rsidRPr="00691D7B">
              <w:rPr>
                <w:sz w:val="20"/>
                <w:szCs w:val="20"/>
              </w:rPr>
              <w:t xml:space="preserve"> </w:t>
            </w:r>
            <w:proofErr w:type="spellStart"/>
            <w:r w:rsidRPr="00691D7B">
              <w:rPr>
                <w:sz w:val="20"/>
                <w:szCs w:val="20"/>
              </w:rPr>
              <w:t>acarretar</w:t>
            </w:r>
            <w:proofErr w:type="spellEnd"/>
            <w:r w:rsidRPr="00691D7B">
              <w:rPr>
                <w:sz w:val="20"/>
                <w:szCs w:val="20"/>
              </w:rPr>
              <w:t xml:space="preserve"> </w:t>
            </w:r>
            <w:proofErr w:type="spellStart"/>
            <w:r w:rsidRPr="00691D7B">
              <w:rPr>
                <w:sz w:val="20"/>
                <w:szCs w:val="20"/>
              </w:rPr>
              <w:t>multas</w:t>
            </w:r>
            <w:proofErr w:type="spellEnd"/>
            <w:r w:rsidRPr="00691D7B">
              <w:rPr>
                <w:sz w:val="20"/>
                <w:szCs w:val="20"/>
              </w:rPr>
              <w:t>.</w:t>
            </w:r>
          </w:p>
        </w:tc>
        <w:tc>
          <w:tcPr>
            <w:tcW w:w="3543" w:type="dxa"/>
          </w:tcPr>
          <w:p w14:paraId="3B4376B4" w14:textId="24DE18FE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 xml:space="preserve">No armazenamento na nuvem, defina uma regra de apagamento automática ou crie um lembrete mensal no calendário para limpar a pasta </w:t>
            </w:r>
            <w:r>
              <w:rPr>
                <w:i/>
                <w:iCs/>
                <w:sz w:val="20"/>
                <w:szCs w:val="20"/>
                <w:lang w:val="pt-PT"/>
              </w:rPr>
              <w:t>ID-Scans</w:t>
            </w:r>
            <w:r>
              <w:rPr>
                <w:sz w:val="20"/>
                <w:szCs w:val="20"/>
                <w:lang w:val="pt-PT"/>
              </w:rPr>
              <w:t>.</w:t>
            </w:r>
          </w:p>
        </w:tc>
      </w:tr>
      <w:tr w:rsidR="00780ECB" w:rsidRPr="0082214F" w14:paraId="13E73C98" w14:textId="77777777" w:rsidTr="00FB74BD">
        <w:tc>
          <w:tcPr>
            <w:tcW w:w="2263" w:type="dxa"/>
          </w:tcPr>
          <w:p w14:paraId="356023D0" w14:textId="7771815E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lastRenderedPageBreak/>
              <w:t xml:space="preserve">Guardamos, para todos os hóspedes, o comprovativo do consentimento relativo ao </w:t>
            </w:r>
            <w:r>
              <w:rPr>
                <w:i/>
                <w:iCs/>
                <w:sz w:val="20"/>
                <w:szCs w:val="20"/>
                <w:lang w:val="pt-PT"/>
              </w:rPr>
              <w:t>marketing.</w:t>
            </w:r>
          </w:p>
        </w:tc>
        <w:tc>
          <w:tcPr>
            <w:tcW w:w="3261" w:type="dxa"/>
          </w:tcPr>
          <w:p w14:paraId="444ABF40" w14:textId="587CDCB9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Deve mostrar a opção de adesão quando alguém cancelar a inscrição ou reclamar.</w:t>
            </w:r>
          </w:p>
        </w:tc>
        <w:tc>
          <w:tcPr>
            <w:tcW w:w="3543" w:type="dxa"/>
          </w:tcPr>
          <w:p w14:paraId="0297C82E" w14:textId="492C7C80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 xml:space="preserve">Configure a sua ferramenta de </w:t>
            </w:r>
            <w:r>
              <w:rPr>
                <w:i/>
                <w:iCs/>
                <w:sz w:val="20"/>
                <w:szCs w:val="20"/>
                <w:lang w:val="pt-PT"/>
              </w:rPr>
              <w:t xml:space="preserve">e-mail </w:t>
            </w:r>
            <w:r>
              <w:rPr>
                <w:sz w:val="20"/>
                <w:szCs w:val="20"/>
                <w:lang w:val="pt-PT"/>
              </w:rPr>
              <w:t>para registar a data/hora/IP de cada caixa de seleção selecionada e exporte esse registo mensalmente para PDF.</w:t>
            </w:r>
          </w:p>
        </w:tc>
      </w:tr>
      <w:tr w:rsidR="00780ECB" w:rsidRPr="0082214F" w14:paraId="3532CE7D" w14:textId="77777777" w:rsidTr="00FB74BD">
        <w:tc>
          <w:tcPr>
            <w:tcW w:w="2263" w:type="dxa"/>
          </w:tcPr>
          <w:p w14:paraId="12EBB7E8" w14:textId="4AB1056E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Podemos exportar os dados de um hóspede no prazo de sete dias, se tal nos for solicitado.</w:t>
            </w:r>
          </w:p>
        </w:tc>
        <w:tc>
          <w:tcPr>
            <w:tcW w:w="3261" w:type="dxa"/>
          </w:tcPr>
          <w:p w14:paraId="77FB0D47" w14:textId="042A1904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O RGPD concede o «direito de acesso» sem demora injustificada.</w:t>
            </w:r>
          </w:p>
        </w:tc>
        <w:tc>
          <w:tcPr>
            <w:tcW w:w="3543" w:type="dxa"/>
          </w:tcPr>
          <w:p w14:paraId="7539605D" w14:textId="5E0E6FF0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 xml:space="preserve">Prepare um </w:t>
            </w:r>
            <w:r>
              <w:rPr>
                <w:i/>
                <w:iCs/>
                <w:sz w:val="20"/>
                <w:szCs w:val="20"/>
                <w:lang w:val="pt-PT"/>
              </w:rPr>
              <w:t xml:space="preserve">script </w:t>
            </w:r>
            <w:r>
              <w:rPr>
                <w:sz w:val="20"/>
                <w:szCs w:val="20"/>
                <w:lang w:val="pt-PT"/>
              </w:rPr>
              <w:t xml:space="preserve">de fusão ou uma lista de verificação manual: sistema de reservas → </w:t>
            </w:r>
            <w:r>
              <w:rPr>
                <w:i/>
                <w:iCs/>
                <w:sz w:val="20"/>
                <w:szCs w:val="20"/>
                <w:lang w:val="pt-PT"/>
              </w:rPr>
              <w:t>e-mail</w:t>
            </w:r>
            <w:r>
              <w:rPr>
                <w:sz w:val="20"/>
                <w:szCs w:val="20"/>
                <w:lang w:val="pt-PT"/>
              </w:rPr>
              <w:t xml:space="preserve"> → CRM. Teste o fluxo de trabalho num registo fictício.</w:t>
            </w:r>
          </w:p>
        </w:tc>
      </w:tr>
      <w:tr w:rsidR="00780ECB" w:rsidRPr="0082214F" w14:paraId="397194ED" w14:textId="77777777" w:rsidTr="00FB74BD">
        <w:tc>
          <w:tcPr>
            <w:tcW w:w="2263" w:type="dxa"/>
          </w:tcPr>
          <w:p w14:paraId="57ADBF5B" w14:textId="6AE940F2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Testamos o modelo de pedido de apagamento duas vezes por ano.</w:t>
            </w:r>
          </w:p>
        </w:tc>
        <w:tc>
          <w:tcPr>
            <w:tcW w:w="3261" w:type="dxa"/>
          </w:tcPr>
          <w:p w14:paraId="3F92F840" w14:textId="116D804C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Os pedidos de direito ao apagamento aumentam após violações de dados; os ensaios evitam o pânico.</w:t>
            </w:r>
          </w:p>
        </w:tc>
        <w:tc>
          <w:tcPr>
            <w:tcW w:w="3543" w:type="dxa"/>
          </w:tcPr>
          <w:p w14:paraId="044A8233" w14:textId="30DFAB2B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 xml:space="preserve">Use um </w:t>
            </w:r>
            <w:r>
              <w:rPr>
                <w:i/>
                <w:iCs/>
                <w:sz w:val="20"/>
                <w:szCs w:val="20"/>
                <w:lang w:val="pt-PT"/>
              </w:rPr>
              <w:t>e-mail</w:t>
            </w:r>
            <w:r>
              <w:rPr>
                <w:sz w:val="20"/>
                <w:szCs w:val="20"/>
                <w:lang w:val="pt-PT"/>
              </w:rPr>
              <w:t xml:space="preserve"> de reserva para enviar um pedido simulado, execute as etapas, registe o tempo gasto e quaisquer obstáculos encontrados.</w:t>
            </w:r>
          </w:p>
        </w:tc>
      </w:tr>
      <w:tr w:rsidR="00780ECB" w:rsidRPr="0082214F" w14:paraId="3CD299E0" w14:textId="77777777" w:rsidTr="00FB74BD">
        <w:tc>
          <w:tcPr>
            <w:tcW w:w="2263" w:type="dxa"/>
          </w:tcPr>
          <w:p w14:paraId="0BA1C623" w14:textId="0FB65602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Os nossos documentos de privacidade estão sujeitos a uma verificação automática de acessibilidade.</w:t>
            </w:r>
          </w:p>
        </w:tc>
        <w:tc>
          <w:tcPr>
            <w:tcW w:w="3261" w:type="dxa"/>
          </w:tcPr>
          <w:p w14:paraId="583AF671" w14:textId="610E45D8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A igualdade de acesso é um requisito legal (LEA 2025) e um bom serviço para hóspedes com deficiência.</w:t>
            </w:r>
          </w:p>
        </w:tc>
        <w:tc>
          <w:tcPr>
            <w:tcW w:w="3543" w:type="dxa"/>
          </w:tcPr>
          <w:p w14:paraId="690D4310" w14:textId="7B9A555E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 xml:space="preserve">Exporte a declaração como PDF com </w:t>
            </w:r>
            <w:r>
              <w:rPr>
                <w:i/>
                <w:iCs/>
                <w:sz w:val="20"/>
                <w:szCs w:val="20"/>
                <w:lang w:val="pt-PT"/>
              </w:rPr>
              <w:t>tags,</w:t>
            </w:r>
            <w:r>
              <w:rPr>
                <w:sz w:val="20"/>
                <w:szCs w:val="20"/>
                <w:lang w:val="pt-PT"/>
              </w:rPr>
              <w:t xml:space="preserve"> execute-a no PAC 3 ou no verificador do Adobe Acrobat e corrija quaisquer cabeçalhos ou alternativas em texto em falta.</w:t>
            </w:r>
          </w:p>
        </w:tc>
      </w:tr>
    </w:tbl>
    <w:p w14:paraId="6AF0E6D3" w14:textId="6151075F" w:rsidR="005A579B" w:rsidRDefault="005A579B" w:rsidP="005A579B">
      <w:pPr>
        <w:spacing w:line="276" w:lineRule="auto"/>
      </w:pPr>
    </w:p>
    <w:p w14:paraId="4B5C5CC9" w14:textId="77777777" w:rsidR="00780ECB" w:rsidRDefault="00780ECB" w:rsidP="00780ECB">
      <w:pPr>
        <w:spacing w:line="276" w:lineRule="auto"/>
        <w:rPr>
          <w:b/>
          <w:bCs/>
        </w:rPr>
      </w:pPr>
      <w:r>
        <w:rPr>
          <w:b/>
          <w:bCs/>
          <w:lang w:val="pt-PT"/>
        </w:rPr>
        <w:t>Cadência de revisão recomendada</w:t>
      </w:r>
    </w:p>
    <w:p w14:paraId="6F99AD5C" w14:textId="3B79D139" w:rsidR="00780ECB" w:rsidRPr="00780ECB" w:rsidRDefault="00780ECB" w:rsidP="00780ECB">
      <w:pPr>
        <w:spacing w:line="276" w:lineRule="auto"/>
        <w:rPr>
          <w:b/>
          <w:bCs/>
        </w:rPr>
      </w:pPr>
      <w:r>
        <w:rPr>
          <w:lang w:val="pt-PT"/>
        </w:rPr>
        <w:t xml:space="preserve">Complete esta lista de verificação a cada trimestre. Se algum item exibir </w:t>
      </w:r>
      <w:r>
        <w:rPr>
          <w:b/>
          <w:bCs/>
          <w:lang w:val="pt-PT"/>
        </w:rPr>
        <w:t>Não</w:t>
      </w:r>
      <w:r>
        <w:rPr>
          <w:lang w:val="pt-PT"/>
        </w:rPr>
        <w:t xml:space="preserve"> em duas revisões consecutivas, encaminhe-o para o OKR ou meta de </w:t>
      </w:r>
      <w:r>
        <w:rPr>
          <w:i/>
          <w:iCs/>
          <w:lang w:val="pt-PT"/>
        </w:rPr>
        <w:t xml:space="preserve">sprint </w:t>
      </w:r>
      <w:r>
        <w:rPr>
          <w:lang w:val="pt-PT"/>
        </w:rPr>
        <w:t>do proprietário.</w:t>
      </w:r>
    </w:p>
    <w:sectPr w:rsidR="00780ECB" w:rsidRPr="00780ECB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2BDEB" w14:textId="77777777" w:rsidR="00F459F5" w:rsidRDefault="00F459F5">
      <w:pPr>
        <w:spacing w:after="0" w:line="240" w:lineRule="auto"/>
      </w:pPr>
      <w:r>
        <w:separator/>
      </w:r>
    </w:p>
  </w:endnote>
  <w:endnote w:type="continuationSeparator" w:id="0">
    <w:p w14:paraId="1CEBD56A" w14:textId="77777777" w:rsidR="00F459F5" w:rsidRDefault="00F45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-334384906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60CC2F92" w14:textId="77777777" w:rsidR="00F00116" w:rsidRDefault="00F00116" w:rsidP="00BB45F9">
        <w:pPr>
          <w:pStyle w:val="Rodap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  <w:lang w:val="pt-PT"/>
          </w:rPr>
          <w:fldChar w:fldCharType="begin"/>
        </w:r>
        <w:r>
          <w:rPr>
            <w:rStyle w:val="Nmerodepgina"/>
            <w:lang w:val="pt-PT"/>
          </w:rPr>
          <w:instrText xml:space="preserve"> PAGE </w:instrText>
        </w:r>
        <w:r>
          <w:rPr>
            <w:rStyle w:val="Nmerodepgina"/>
            <w:lang w:val="pt-PT"/>
          </w:rPr>
          <w:fldChar w:fldCharType="end"/>
        </w:r>
      </w:p>
    </w:sdtContent>
  </w:sdt>
  <w:p w14:paraId="1449E123" w14:textId="77777777" w:rsidR="00F00116" w:rsidRDefault="00F00116" w:rsidP="009E65EF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Rodap"/>
          <w:jc w:val="right"/>
          <w:rPr>
            <w:rFonts w:cs="Poppins"/>
            <w:sz w:val="18"/>
            <w:szCs w:val="18"/>
          </w:rPr>
        </w:pPr>
        <w:r>
          <w:rPr>
            <w:rFonts w:cs="Poppins"/>
            <w:sz w:val="18"/>
            <w:szCs w:val="18"/>
            <w:lang w:val="pt-PT"/>
          </w:rPr>
          <w:fldChar w:fldCharType="begin"/>
        </w:r>
        <w:r>
          <w:rPr>
            <w:rFonts w:cs="Poppins"/>
            <w:sz w:val="18"/>
            <w:szCs w:val="18"/>
            <w:lang w:val="pt-PT"/>
          </w:rPr>
          <w:instrText xml:space="preserve"> PAGE   \* MERGEFORMAT </w:instrText>
        </w:r>
        <w:r>
          <w:rPr>
            <w:rFonts w:cs="Poppins"/>
            <w:sz w:val="18"/>
            <w:szCs w:val="18"/>
            <w:lang w:val="pt-PT"/>
          </w:rPr>
          <w:fldChar w:fldCharType="separate"/>
        </w:r>
        <w:r>
          <w:rPr>
            <w:rFonts w:cs="Poppins"/>
            <w:noProof/>
            <w:sz w:val="18"/>
            <w:szCs w:val="18"/>
            <w:lang w:val="pt-PT"/>
          </w:rPr>
          <w:t>6</w:t>
        </w:r>
        <w:r>
          <w:rPr>
            <w:rFonts w:cs="Poppins"/>
            <w:noProof/>
            <w:sz w:val="18"/>
            <w:szCs w:val="18"/>
            <w:lang w:val="pt-PT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Rodap"/>
      <w:jc w:val="center"/>
    </w:pPr>
    <w:r>
      <w:rPr>
        <w:rFonts w:cs="Poppins"/>
        <w:noProof/>
        <w:color w:val="595959" w:themeColor="text1" w:themeTint="A6"/>
        <w:sz w:val="28"/>
        <w:szCs w:val="24"/>
        <w:lang w:val="pt-PT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Texto azul nu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C4A99" w14:textId="77777777" w:rsidR="00F459F5" w:rsidRDefault="00F459F5">
      <w:pPr>
        <w:spacing w:after="0" w:line="240" w:lineRule="auto"/>
      </w:pPr>
      <w:r>
        <w:separator/>
      </w:r>
    </w:p>
  </w:footnote>
  <w:footnote w:type="continuationSeparator" w:id="0">
    <w:p w14:paraId="2E52597E" w14:textId="77777777" w:rsidR="00F459F5" w:rsidRDefault="00F459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Cabealho"/>
      <w:ind w:firstLine="0"/>
    </w:pPr>
    <w:r>
      <w:rPr>
        <w:rFonts w:cs="Poppins"/>
        <w:noProof/>
        <w:lang w:val="pt-PT"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:lang w:val="pt-PT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Texto azul nu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Ttulo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Ttulo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7"/>
  </w:num>
  <w:num w:numId="2" w16cid:durableId="1937517448">
    <w:abstractNumId w:val="15"/>
  </w:num>
  <w:num w:numId="3" w16cid:durableId="1506356308">
    <w:abstractNumId w:val="22"/>
  </w:num>
  <w:num w:numId="4" w16cid:durableId="318272053">
    <w:abstractNumId w:val="4"/>
  </w:num>
  <w:num w:numId="5" w16cid:durableId="55278704">
    <w:abstractNumId w:val="5"/>
  </w:num>
  <w:num w:numId="6" w16cid:durableId="153885095">
    <w:abstractNumId w:val="13"/>
  </w:num>
  <w:num w:numId="7" w16cid:durableId="53817011">
    <w:abstractNumId w:val="20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9"/>
  </w:num>
  <w:num w:numId="11" w16cid:durableId="709039614">
    <w:abstractNumId w:val="16"/>
  </w:num>
  <w:num w:numId="12" w16cid:durableId="118963739">
    <w:abstractNumId w:val="11"/>
  </w:num>
  <w:num w:numId="13" w16cid:durableId="1545294144">
    <w:abstractNumId w:val="14"/>
  </w:num>
  <w:num w:numId="14" w16cid:durableId="1403913584">
    <w:abstractNumId w:val="21"/>
  </w:num>
  <w:num w:numId="15" w16cid:durableId="73941527">
    <w:abstractNumId w:val="18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7"/>
  </w:num>
  <w:num w:numId="20" w16cid:durableId="2139300044">
    <w:abstractNumId w:val="10"/>
  </w:num>
  <w:num w:numId="21" w16cid:durableId="1520123905">
    <w:abstractNumId w:val="8"/>
  </w:num>
  <w:num w:numId="22" w16cid:durableId="443968025">
    <w:abstractNumId w:val="6"/>
  </w:num>
  <w:num w:numId="23" w16cid:durableId="1206866270">
    <w:abstractNumId w:val="12"/>
  </w:num>
  <w:num w:numId="24" w16cid:durableId="16204073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7E0F"/>
    <w:rsid w:val="000B78DA"/>
    <w:rsid w:val="000D722B"/>
    <w:rsid w:val="000F46BE"/>
    <w:rsid w:val="00111A26"/>
    <w:rsid w:val="00146A1B"/>
    <w:rsid w:val="0015425C"/>
    <w:rsid w:val="0017441F"/>
    <w:rsid w:val="00196A37"/>
    <w:rsid w:val="001B39C3"/>
    <w:rsid w:val="001C3D94"/>
    <w:rsid w:val="00367797"/>
    <w:rsid w:val="00401FA1"/>
    <w:rsid w:val="00405A14"/>
    <w:rsid w:val="004272D2"/>
    <w:rsid w:val="0045438D"/>
    <w:rsid w:val="00466B0D"/>
    <w:rsid w:val="004A4680"/>
    <w:rsid w:val="004A5439"/>
    <w:rsid w:val="004F7AF1"/>
    <w:rsid w:val="0053296E"/>
    <w:rsid w:val="0054014D"/>
    <w:rsid w:val="005567C6"/>
    <w:rsid w:val="0057136A"/>
    <w:rsid w:val="005A579B"/>
    <w:rsid w:val="005F5585"/>
    <w:rsid w:val="00674F12"/>
    <w:rsid w:val="00691D7B"/>
    <w:rsid w:val="006B36F8"/>
    <w:rsid w:val="006D5A89"/>
    <w:rsid w:val="006E59B7"/>
    <w:rsid w:val="006F1B2F"/>
    <w:rsid w:val="00703801"/>
    <w:rsid w:val="0071049D"/>
    <w:rsid w:val="00720B76"/>
    <w:rsid w:val="00746217"/>
    <w:rsid w:val="00780ECB"/>
    <w:rsid w:val="007F257C"/>
    <w:rsid w:val="008037BA"/>
    <w:rsid w:val="00811EFB"/>
    <w:rsid w:val="00817CCC"/>
    <w:rsid w:val="0082214F"/>
    <w:rsid w:val="0084256E"/>
    <w:rsid w:val="00881F61"/>
    <w:rsid w:val="008A0453"/>
    <w:rsid w:val="008E211B"/>
    <w:rsid w:val="00951177"/>
    <w:rsid w:val="0096318D"/>
    <w:rsid w:val="009747F7"/>
    <w:rsid w:val="0099475F"/>
    <w:rsid w:val="009A1521"/>
    <w:rsid w:val="00A13208"/>
    <w:rsid w:val="00A76534"/>
    <w:rsid w:val="00A85BEB"/>
    <w:rsid w:val="00AC63E7"/>
    <w:rsid w:val="00B21354"/>
    <w:rsid w:val="00B30C01"/>
    <w:rsid w:val="00B37DC8"/>
    <w:rsid w:val="00B876CB"/>
    <w:rsid w:val="00BE6AA2"/>
    <w:rsid w:val="00BE76A2"/>
    <w:rsid w:val="00C0371D"/>
    <w:rsid w:val="00C05AA3"/>
    <w:rsid w:val="00C576C1"/>
    <w:rsid w:val="00CC3A53"/>
    <w:rsid w:val="00CC5207"/>
    <w:rsid w:val="00CF5182"/>
    <w:rsid w:val="00D27655"/>
    <w:rsid w:val="00D47453"/>
    <w:rsid w:val="00D56ADA"/>
    <w:rsid w:val="00D870BB"/>
    <w:rsid w:val="00DB48B2"/>
    <w:rsid w:val="00E06380"/>
    <w:rsid w:val="00E20C51"/>
    <w:rsid w:val="00E26B10"/>
    <w:rsid w:val="00E745DE"/>
    <w:rsid w:val="00EB648A"/>
    <w:rsid w:val="00F00116"/>
    <w:rsid w:val="00F20904"/>
    <w:rsid w:val="00F35BB8"/>
    <w:rsid w:val="00F41F1D"/>
    <w:rsid w:val="00F459F5"/>
    <w:rsid w:val="00F6294A"/>
    <w:rsid w:val="00FA6018"/>
    <w:rsid w:val="00FB198A"/>
    <w:rsid w:val="00FB290D"/>
    <w:rsid w:val="00FB74BD"/>
    <w:rsid w:val="00FF4E00"/>
    <w:rsid w:val="26AB3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Ttulo1">
    <w:name w:val="heading 1"/>
    <w:basedOn w:val="Normal"/>
    <w:next w:val="Normal"/>
    <w:link w:val="Ttulo1Carter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Ttulo3">
    <w:name w:val="heading 3"/>
    <w:basedOn w:val="Normal"/>
    <w:next w:val="Normal"/>
    <w:link w:val="Ttulo3Carter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Ttulo4">
    <w:name w:val="heading 4"/>
    <w:basedOn w:val="Normal"/>
    <w:next w:val="Normal"/>
    <w:link w:val="Ttulo4Carter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Ttulo3Carter">
    <w:name w:val="Título 3 Caráter"/>
    <w:basedOn w:val="Tipodeletrapredefinidodopargrafo"/>
    <w:link w:val="Ttulo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Ttulo4Carter">
    <w:name w:val="Título 4 Caráter"/>
    <w:basedOn w:val="Tipodeletrapredefinidodopargrafo"/>
    <w:link w:val="Ttulo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F0011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Tipodeletrapredefinidodopargrafo"/>
    <w:uiPriority w:val="21"/>
    <w:qFormat/>
    <w:rsid w:val="00F0011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F00116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Cabealho">
    <w:name w:val="header"/>
    <w:basedOn w:val="Normal"/>
    <w:link w:val="CabealhoCarter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Rodap">
    <w:name w:val="footer"/>
    <w:basedOn w:val="Normal"/>
    <w:link w:val="RodapCarter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elacomGrelha">
    <w:name w:val="Table Grid"/>
    <w:basedOn w:val="Tabelanormal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Tipodeletrapredefinidodopargrafo"/>
    <w:uiPriority w:val="99"/>
    <w:semiHidden/>
    <w:unhideWhenUsed/>
    <w:rsid w:val="00F00116"/>
  </w:style>
  <w:style w:type="paragraph" w:styleId="Cabealhodondice">
    <w:name w:val="TOC Heading"/>
    <w:basedOn w:val="Ttulo1"/>
    <w:next w:val="Normal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iperligao">
    <w:name w:val="Hyperlink"/>
    <w:basedOn w:val="Tipodeletrapredefinidodopargrafo"/>
    <w:uiPriority w:val="99"/>
    <w:unhideWhenUsed/>
    <w:rsid w:val="00F00116"/>
    <w:rPr>
      <w:color w:val="467886" w:themeColor="hyperlink"/>
      <w:u w:val="single"/>
    </w:rPr>
  </w:style>
  <w:style w:type="paragraph" w:styleId="ndice1">
    <w:name w:val="toc 1"/>
    <w:basedOn w:val="Normal"/>
    <w:next w:val="Normal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ndice2">
    <w:name w:val="toc 2"/>
    <w:basedOn w:val="Normal"/>
    <w:next w:val="Normal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ndice3">
    <w:name w:val="toc 3"/>
    <w:basedOn w:val="Normal"/>
    <w:next w:val="Normal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ndice4">
    <w:name w:val="toc 4"/>
    <w:basedOn w:val="Normal"/>
    <w:next w:val="Normal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ndice5">
    <w:name w:val="toc 5"/>
    <w:basedOn w:val="Normal"/>
    <w:next w:val="Normal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ndice6">
    <w:name w:val="toc 6"/>
    <w:basedOn w:val="Normal"/>
    <w:next w:val="Normal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ndice7">
    <w:name w:val="toc 7"/>
    <w:basedOn w:val="Normal"/>
    <w:next w:val="Normal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ndice8">
    <w:name w:val="toc 8"/>
    <w:basedOn w:val="Normal"/>
    <w:next w:val="Normal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ndice9">
    <w:name w:val="toc 9"/>
    <w:basedOn w:val="Normal"/>
    <w:next w:val="Normal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SemEspaamento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042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724</Words>
  <Characters>3910</Characters>
  <Application>Microsoft Office Word</Application>
  <DocSecurity>0</DocSecurity>
  <Lines>32</Lines>
  <Paragraphs>9</Paragraphs>
  <ScaleCrop>false</ScaleCrop>
  <Company/>
  <LinksUpToDate>false</LinksUpToDate>
  <CharactersWithSpaces>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Ana Rita Peralta</cp:lastModifiedBy>
  <cp:revision>2</cp:revision>
  <dcterms:created xsi:type="dcterms:W3CDTF">2026-01-13T10:58:00Z</dcterms:created>
  <dcterms:modified xsi:type="dcterms:W3CDTF">2026-01-13T10:58:00Z</dcterms:modified>
</cp:coreProperties>
</file>